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 w:val="0"/>
          <w:sz w:val="28"/>
          <w:szCs w:val="28"/>
          <w:u w:val="none"/>
          <w:shd w:val="clear" w:color="auto" w:fill="FFFFFF"/>
          <w:lang w:eastAsia="zh-CN"/>
        </w:rPr>
      </w:pPr>
      <w:r>
        <w:rPr>
          <w:bCs w:val="0"/>
          <w:sz w:val="28"/>
          <w:szCs w:val="28"/>
          <w:u w:val="none"/>
          <w:shd w:val="clear" w:color="auto" w:fill="FFFFFF"/>
        </w:rPr>
        <w:t>土木</w:t>
      </w:r>
      <w:r>
        <w:rPr>
          <w:rFonts w:hint="eastAsia"/>
          <w:bCs w:val="0"/>
          <w:sz w:val="28"/>
          <w:szCs w:val="28"/>
          <w:u w:val="none"/>
          <w:shd w:val="clear" w:color="auto" w:fill="FFFFFF"/>
        </w:rPr>
        <w:t>工程</w:t>
      </w:r>
      <w:r>
        <w:rPr>
          <w:bCs w:val="0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hint="eastAsia"/>
          <w:bCs w:val="0"/>
          <w:sz w:val="28"/>
          <w:szCs w:val="28"/>
          <w:u w:val="none"/>
          <w:shd w:val="clear" w:color="auto" w:fill="FFFFFF"/>
          <w:lang w:eastAsia="zh-CN"/>
        </w:rPr>
        <w:t>（</w:t>
      </w:r>
      <w:r>
        <w:rPr>
          <w:b/>
          <w:bCs/>
          <w:sz w:val="28"/>
          <w:szCs w:val="28"/>
          <w:u w:val="none"/>
        </w:rPr>
        <w:t>085901</w:t>
      </w:r>
      <w:r>
        <w:rPr>
          <w:rFonts w:hint="eastAsia"/>
          <w:bCs w:val="0"/>
          <w:sz w:val="28"/>
          <w:szCs w:val="28"/>
          <w:u w:val="none"/>
          <w:shd w:val="clear" w:color="auto" w:fill="FFFFFF"/>
          <w:lang w:eastAsia="zh-CN"/>
        </w:rPr>
        <w:t>）</w:t>
      </w:r>
    </w:p>
    <w:p>
      <w:pPr>
        <w:jc w:val="center"/>
        <w:rPr>
          <w:rFonts w:hint="eastAsia"/>
          <w:bCs w:val="0"/>
          <w:sz w:val="28"/>
          <w:szCs w:val="28"/>
          <w:u w:val="none"/>
          <w:shd w:val="clear" w:color="auto" w:fill="FFFFFF"/>
          <w:lang w:eastAsia="zh-CN"/>
        </w:rPr>
      </w:pPr>
    </w:p>
    <w:tbl>
      <w:tblPr>
        <w:tblStyle w:val="3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00"/>
        <w:gridCol w:w="3188"/>
        <w:gridCol w:w="720"/>
        <w:gridCol w:w="720"/>
        <w:gridCol w:w="1800"/>
        <w:gridCol w:w="1088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课程类别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课程名称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学分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学期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开课单位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课程性质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</w:t>
            </w:r>
          </w:p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共</w:t>
            </w:r>
          </w:p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中国特色社会主义理论与实践研究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108" w:right="-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08" w:right="-2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自然辩证法概论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二选一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第一外国语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1、2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础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论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数值分析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至少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数理统计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管理学院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工程数学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应用随机过程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业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高等土木工程施工与管理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ind w:left="-107" w:right="-109" w:firstLine="13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双语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ind w:firstLine="105" w:firstLineChar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非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必</w:t>
            </w:r>
          </w:p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选</w:t>
            </w:r>
          </w:p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16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工程伦理</w:t>
            </w:r>
          </w:p>
        </w:tc>
        <w:tc>
          <w:tcPr>
            <w:tcW w:w="3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基础工程训练中心</w:t>
            </w:r>
          </w:p>
        </w:tc>
        <w:tc>
          <w:tcPr>
            <w:tcW w:w="56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前沿讲座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校内企业实践课程</w:t>
            </w:r>
          </w:p>
        </w:tc>
        <w:tc>
          <w:tcPr>
            <w:tcW w:w="3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2、3</w:t>
            </w:r>
          </w:p>
        </w:tc>
        <w:tc>
          <w:tcPr>
            <w:tcW w:w="9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基础工程训练中心</w:t>
            </w:r>
          </w:p>
        </w:tc>
        <w:tc>
          <w:tcPr>
            <w:tcW w:w="56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实验实践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任选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选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修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工程设计软件及应用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实验实践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任选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土木工程综合测试技术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实验实践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bCs/>
                <w:color w:val="FF0000"/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szCs w:val="21"/>
              </w:rPr>
              <w:t>现代土木工程项目管理</w:t>
            </w:r>
            <w:bookmarkEnd w:id="0"/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工程结构耐久性及全寿命设计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双语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复合地基设计方法及工程应用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地下工程人工冻结理论与实践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结构抗震与振动控制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土木工程与力学学院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</w:rPr>
              <w:t>公</w:t>
            </w:r>
          </w:p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kern w:val="0"/>
                <w:szCs w:val="21"/>
                <w:shd w:val="clear" w:color="auto" w:fill="FFFFFF"/>
              </w:rPr>
              <w:t>共</w:t>
            </w:r>
          </w:p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kern w:val="0"/>
                <w:szCs w:val="21"/>
                <w:shd w:val="clear" w:color="auto" w:fill="FFFFFF"/>
              </w:rPr>
              <w:t>选</w:t>
            </w:r>
          </w:p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kern w:val="0"/>
                <w:szCs w:val="21"/>
                <w:shd w:val="clear" w:color="auto" w:fill="FFFFFF"/>
              </w:rPr>
              <w:t>修</w:t>
            </w:r>
          </w:p>
          <w:p>
            <w:pPr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  <w:shd w:val="clear" w:color="auto" w:fill="FFFFFF"/>
              </w:rPr>
              <w:t>课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科学伦理与学术规范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pStyle w:val="5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至少选一门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工程伦理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pStyle w:val="5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工程训练中心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科研创新与论文写作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pStyle w:val="5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pStyle w:val="5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7200"/>
              </w:tabs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895" w:type="pct"/>
            <w:gridSpan w:val="5"/>
            <w:noWrap w:val="0"/>
            <w:vAlign w:val="center"/>
          </w:tcPr>
          <w:p>
            <w:pPr>
              <w:widowControl/>
              <w:ind w:firstLine="420" w:firstLineChars="200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主要为哲学、文学、计算机应用、实验安全、知识产权、信息检索、科技文化、心理健康等工具类或宽口径课程。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任选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EzZmQ4N2NlNzBmMDBjNTcwZWY3ODdkNjY1NmUifQ=="/>
  </w:docVars>
  <w:rsids>
    <w:rsidRoot w:val="50F25B1C"/>
    <w:rsid w:val="5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2023-11-24T09:02:00Z</dcterms:created>
  <dc:creator>李义</dc:creator>
  <cp:lastModifiedBy>李义</cp:lastModifiedBy>
  <dcterms:modified xsi:type="dcterms:W3CDTF">2023-11-24T09:03:55Z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59C640AD47484A19A23E5E8D21E4D749_11</vt:lpwstr>
  </property>
</Properties>
</file>